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DB" w:rsidRPr="00C60ADB" w:rsidRDefault="00C60ADB" w:rsidP="00C60ADB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C60ADB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Расчет тарифов в сфере теплоснабжения: поправки</w:t>
      </w:r>
    </w:p>
    <w:bookmarkEnd w:id="0"/>
    <w:p w:rsidR="00C60ADB" w:rsidRDefault="00C60ADB" w:rsidP="00C60AD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Приказом Федеральной антимонопольной службы от 29 августа 2019 г. N 1152/19 внесены изменения в Методические указания по расчету регулируемых цен (тарифов) в сфере теплоснабжения, утвержденные приказом ФСТ России от 13.06.2013 N 760-э.</w:t>
      </w:r>
    </w:p>
    <w:p w:rsidR="00C60ADB" w:rsidRDefault="00C60ADB" w:rsidP="00C60AD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ФАС внесла изменения в Методические указания по расчету регулируемых цен (тарифов) в сфере теплоснабжения.</w:t>
      </w:r>
      <w:r>
        <w:rPr>
          <w:rFonts w:ascii="Tahoma" w:hAnsi="Tahoma" w:cs="Tahoma"/>
          <w:color w:val="000000"/>
          <w:sz w:val="21"/>
          <w:szCs w:val="21"/>
        </w:rPr>
        <w:br/>
        <w:t>Уточнено, что указания не применяются при расчете в ценовых зонах теплоснабжения предельного уровня цены на тепловую энергию (мощность).</w:t>
      </w:r>
    </w:p>
    <w:p w:rsidR="00C60ADB" w:rsidRDefault="00C60ADB" w:rsidP="00C60AD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После окончания переходного периода в ценовых зонах теплоснабжения тарифы на производимую тепловую энергию (мощность), в том числе в режиме комбинированной выработки электрической и тепловой энергии, формируемые с учетом долгосрочных параметров регулирования, устанавливаются в виде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двухставочного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тарифа. Изменение вида тарифа (с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одноставочного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на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двухставочный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 в течение расчетного периода регулирования происходит в соответствии с Методическими указаниями без корректировки необходимой валовой выручки и расчетного объема полезного отпуска соответствующего вида продукции (услуг), учтенных в тарифах регулируемой организации на соответствующий расчетный период.</w:t>
      </w:r>
      <w:r>
        <w:rPr>
          <w:rFonts w:ascii="Tahoma" w:hAnsi="Tahoma" w:cs="Tahoma"/>
          <w:color w:val="000000"/>
          <w:sz w:val="21"/>
          <w:szCs w:val="21"/>
        </w:rPr>
        <w:br/>
        <w:t>После окончания переходного периода в ценовых зонах теплоснабжения тарифы на горячую воду с использованием открытой системы теплоснабжения (горячего водоснабжения) устанавливаются в виде формулы двухкомпонентных тарифов с использованием компонентов на теплоноситель и тепловую энергию.</w:t>
      </w:r>
    </w:p>
    <w:p w:rsidR="00C60ADB" w:rsidRDefault="00C60ADB" w:rsidP="00C60AD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Приведена формула, по которой единая теплоснабжающая организация рассчитывает значение компонента на тепловую энергию.</w:t>
      </w:r>
    </w:p>
    <w:p w:rsidR="00C60ADB" w:rsidRDefault="00C60ADB" w:rsidP="00C60AD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Закреплено, как орган регулирования определяет плату за подключение объекта капстроительства потребителя, в том числе застройщика, к системе теплоснабжения, если стороны договора о подключении после окончания переходного периода в ценовых зонах теплоснабжения не достигли соглашения о размере такой платы.</w:t>
      </w:r>
      <w:r>
        <w:rPr>
          <w:rFonts w:ascii="Tahoma" w:hAnsi="Tahoma" w:cs="Tahoma"/>
          <w:color w:val="000000"/>
          <w:sz w:val="21"/>
          <w:szCs w:val="21"/>
        </w:rPr>
        <w:br/>
        <w:t>Настоящий приказ вступает в силу с 14 февраля 2020 г.</w:t>
      </w:r>
    </w:p>
    <w:p w:rsidR="00193C12" w:rsidRDefault="00193C12"/>
    <w:sectPr w:rsidR="0019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7A"/>
    <w:rsid w:val="00193C12"/>
    <w:rsid w:val="0088017A"/>
    <w:rsid w:val="00C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2020-02-26T12:20:00Z</dcterms:created>
  <dcterms:modified xsi:type="dcterms:W3CDTF">2020-02-26T12:20:00Z</dcterms:modified>
</cp:coreProperties>
</file>